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8E" w:rsidRPr="00D21AFF" w:rsidRDefault="005D5E8E" w:rsidP="00D21AFF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bCs/>
          <w:color w:val="000000"/>
        </w:rPr>
      </w:pPr>
      <w:r w:rsidRPr="00D21AFF">
        <w:rPr>
          <w:rFonts w:ascii="Palatino Linotype" w:hAnsi="Palatino Linotype" w:cs="Arial"/>
          <w:b/>
        </w:rPr>
        <w:t xml:space="preserve">OPINIÓN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355366">
        <w:rPr>
          <w:rFonts w:ascii="Palatino Linotype" w:hAnsi="Palatino Linotype" w:cs="Arial"/>
          <w:b/>
        </w:rPr>
        <w:t xml:space="preserve">TRIGÉSIMA </w:t>
      </w:r>
      <w:r w:rsidR="00910AFF">
        <w:rPr>
          <w:rFonts w:ascii="Palatino Linotype" w:hAnsi="Palatino Linotype" w:cs="Arial"/>
          <w:b/>
        </w:rPr>
        <w:t xml:space="preserve">OCTAVA </w:t>
      </w:r>
      <w:r w:rsidR="00355366">
        <w:rPr>
          <w:rFonts w:ascii="Palatino Linotype" w:hAnsi="Palatino Linotype" w:cs="Arial"/>
          <w:b/>
        </w:rPr>
        <w:t xml:space="preserve">SESIÓN ORDINARIA DEL </w:t>
      </w:r>
      <w:r w:rsidR="004065D9">
        <w:rPr>
          <w:rFonts w:ascii="Palatino Linotype" w:hAnsi="Palatino Linotype" w:cs="Arial"/>
          <w:b/>
        </w:rPr>
        <w:t xml:space="preserve">DIECISIETE </w:t>
      </w:r>
      <w:r w:rsidRPr="00D21AFF">
        <w:rPr>
          <w:rFonts w:ascii="Palatino Linotype" w:hAnsi="Palatino Linotype" w:cs="Arial"/>
          <w:b/>
        </w:rPr>
        <w:t xml:space="preserve">DE </w:t>
      </w:r>
      <w:r w:rsidR="004065D9">
        <w:rPr>
          <w:rFonts w:ascii="Palatino Linotype" w:hAnsi="Palatino Linotype" w:cs="Arial"/>
          <w:b/>
        </w:rPr>
        <w:t xml:space="preserve">OCTUBRE </w:t>
      </w:r>
      <w:r w:rsidRPr="00D21AFF">
        <w:rPr>
          <w:rFonts w:ascii="Palatino Linotype" w:hAnsi="Palatino Linotype" w:cs="Arial"/>
          <w:b/>
        </w:rPr>
        <w:t xml:space="preserve">DE DOS MIL DIECIOCHO, EN EL RECURSO DE REVISIÓN </w:t>
      </w:r>
      <w:r w:rsidR="004065D9">
        <w:rPr>
          <w:rFonts w:ascii="Palatino Linotype" w:eastAsia="Calibri" w:hAnsi="Palatino Linotype" w:cs="Arial"/>
          <w:b/>
          <w:bCs/>
          <w:color w:val="000000"/>
        </w:rPr>
        <w:t>03179</w:t>
      </w:r>
      <w:r w:rsidR="00D21AFF" w:rsidRPr="00D21AFF">
        <w:rPr>
          <w:rFonts w:ascii="Palatino Linotype" w:eastAsia="Calibri" w:hAnsi="Palatino Linotype" w:cs="Arial"/>
          <w:b/>
          <w:bCs/>
          <w:color w:val="000000"/>
        </w:rPr>
        <w:t>/INFOEM/IP/RR/2018</w:t>
      </w:r>
      <w:r w:rsidRPr="00D21AFF">
        <w:rPr>
          <w:rFonts w:ascii="Palatino Linotype" w:eastAsia="Calibri" w:hAnsi="Palatino Linotype" w:cs="Arial"/>
          <w:b/>
          <w:bCs/>
          <w:color w:val="000000"/>
        </w:rPr>
        <w:t>.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D21AFF">
        <w:rPr>
          <w:rFonts w:ascii="Palatino Linotype" w:hAnsi="Palatino Linotype" w:cs="Arial"/>
          <w:b/>
          <w:lang w:val="es-ES_tradnl"/>
        </w:rPr>
        <w:t xml:space="preserve"> </w:t>
      </w:r>
      <w:r w:rsidRPr="00D21AFF">
        <w:rPr>
          <w:rFonts w:ascii="Palatino Linotype" w:hAnsi="Palatino Linotype" w:cs="Arial"/>
          <w:b/>
        </w:rPr>
        <w:t xml:space="preserve">EVA ABAID YAPUR, </w:t>
      </w:r>
      <w:r w:rsidRPr="00D21AFF">
        <w:rPr>
          <w:rFonts w:ascii="Palatino Linotype" w:hAnsi="Palatino Linotype" w:cs="Arial"/>
        </w:rPr>
        <w:t xml:space="preserve">emite </w:t>
      </w:r>
      <w:r w:rsidRPr="00D21AFF">
        <w:rPr>
          <w:rFonts w:ascii="Palatino Linotype" w:hAnsi="Palatino Linotype" w:cs="Arial"/>
          <w:b/>
        </w:rPr>
        <w:t xml:space="preserve">OPINIÓN PARTICULAR </w:t>
      </w:r>
      <w:r w:rsidRPr="00D21AFF">
        <w:rPr>
          <w:rFonts w:ascii="Palatino Linotype" w:hAnsi="Palatino Linotype" w:cs="Arial"/>
        </w:rPr>
        <w:t xml:space="preserve">respecto de la resolución dictada en el </w:t>
      </w:r>
      <w:proofErr w:type="gramStart"/>
      <w:r w:rsidRPr="00D21AFF">
        <w:rPr>
          <w:rFonts w:ascii="Palatino Linotype" w:hAnsi="Palatino Linotype" w:cs="Arial"/>
        </w:rPr>
        <w:t>recurso</w:t>
      </w:r>
      <w:proofErr w:type="gramEnd"/>
      <w:r w:rsidRPr="00D21AFF">
        <w:rPr>
          <w:rFonts w:ascii="Palatino Linotype" w:hAnsi="Palatino Linotype" w:cs="Arial"/>
        </w:rPr>
        <w:t xml:space="preserve"> de revisión </w:t>
      </w:r>
      <w:r w:rsidR="004065D9">
        <w:rPr>
          <w:rFonts w:ascii="Palatino Linotype" w:hAnsi="Palatino Linotype" w:cs="Arial"/>
          <w:b/>
        </w:rPr>
        <w:t>03179</w:t>
      </w:r>
      <w:r w:rsidR="00D21AFF">
        <w:rPr>
          <w:rFonts w:ascii="Palatino Linotype" w:eastAsia="Calibri" w:hAnsi="Palatino Linotype" w:cs="Arial"/>
          <w:b/>
          <w:bCs/>
          <w:color w:val="000000"/>
        </w:rPr>
        <w:t>/INFOEM/IP/RR/2018</w:t>
      </w:r>
      <w:r w:rsidRPr="00D21AFF">
        <w:rPr>
          <w:rFonts w:ascii="Palatino Linotype" w:eastAsia="Calibri" w:hAnsi="Palatino Linotype" w:cs="Arial"/>
          <w:b/>
          <w:bCs/>
          <w:color w:val="000000"/>
        </w:rPr>
        <w:t>,</w:t>
      </w:r>
      <w:r w:rsidRPr="00D21AFF">
        <w:rPr>
          <w:rFonts w:ascii="Palatino Linotype" w:hAnsi="Palatino Linotype" w:cs="Arial"/>
        </w:rPr>
        <w:t xml:space="preserve"> pronunciada por el Pleno de este Instituto ante el proyecto </w:t>
      </w:r>
      <w:r w:rsidR="00355366">
        <w:rPr>
          <w:rFonts w:ascii="Palatino Linotype" w:hAnsi="Palatino Linotype" w:cs="Arial"/>
        </w:rPr>
        <w:t xml:space="preserve">presentado por </w:t>
      </w:r>
      <w:r w:rsidR="004065D9">
        <w:rPr>
          <w:rFonts w:ascii="Palatino Linotype" w:hAnsi="Palatino Linotype" w:cs="Arial"/>
        </w:rPr>
        <w:t>el</w:t>
      </w:r>
      <w:r w:rsidR="00355366">
        <w:rPr>
          <w:rFonts w:ascii="Palatino Linotype" w:hAnsi="Palatino Linotype" w:cs="Arial"/>
        </w:rPr>
        <w:t xml:space="preserve"> Comisionad</w:t>
      </w:r>
      <w:r w:rsidR="004065D9">
        <w:rPr>
          <w:rFonts w:ascii="Palatino Linotype" w:hAnsi="Palatino Linotype" w:cs="Arial"/>
        </w:rPr>
        <w:t>o</w:t>
      </w:r>
      <w:r w:rsidRPr="00D21AFF">
        <w:rPr>
          <w:rFonts w:ascii="Palatino Linotype" w:hAnsi="Palatino Linotype" w:cs="Arial"/>
        </w:rPr>
        <w:t xml:space="preserve"> </w:t>
      </w:r>
      <w:r w:rsidR="004065D9">
        <w:rPr>
          <w:rFonts w:ascii="Palatino Linotype" w:hAnsi="Palatino Linotype" w:cs="Arial"/>
          <w:b/>
          <w:lang w:val="es-ES_tradnl"/>
        </w:rPr>
        <w:t>JAVIER MARTÍNEZ CRUZ</w:t>
      </w:r>
      <w:r w:rsidRPr="00D21AFF">
        <w:rPr>
          <w:rFonts w:ascii="Palatino Linotype" w:hAnsi="Palatino Linotype" w:cs="Arial"/>
          <w:b/>
        </w:rPr>
        <w:t>,</w:t>
      </w:r>
      <w:r w:rsidRPr="00D21AFF">
        <w:rPr>
          <w:rFonts w:ascii="Palatino Linotype" w:hAnsi="Palatino Linotype" w:cs="Arial"/>
        </w:rPr>
        <w:t xml:space="preserve"> que es del tenor siguiente.</w:t>
      </w:r>
    </w:p>
    <w:p w:rsidR="00D21AFF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21AFF">
        <w:rPr>
          <w:rFonts w:ascii="Palatino Linotype" w:hAnsi="Palatino Linotype"/>
        </w:rPr>
        <w:t xml:space="preserve">Como quedó precisado en la resolución de mérito, </w:t>
      </w:r>
      <w:r w:rsidR="00D21AFF">
        <w:rPr>
          <w:rFonts w:ascii="Palatino Linotype" w:hAnsi="Palatino Linotype"/>
        </w:rPr>
        <w:t>l</w:t>
      </w:r>
      <w:r w:rsidR="00635D64">
        <w:rPr>
          <w:rFonts w:ascii="Palatino Linotype" w:hAnsi="Palatino Linotype"/>
        </w:rPr>
        <w:t>a</w:t>
      </w:r>
      <w:r w:rsidRPr="00D21AFF">
        <w:rPr>
          <w:rFonts w:ascii="Palatino Linotype" w:hAnsi="Palatino Linotype"/>
        </w:rPr>
        <w:t xml:space="preserve"> particular requirió del </w:t>
      </w:r>
      <w:r w:rsidR="00635D64" w:rsidRPr="00635D64">
        <w:rPr>
          <w:rFonts w:ascii="Palatino Linotype" w:hAnsi="Palatino Linotype"/>
          <w:b/>
        </w:rPr>
        <w:t>Sistema Municipal Para el Desarrollo Integral de la Familia de Cuautitlán Izcalli</w:t>
      </w:r>
      <w:r w:rsidR="00D21AFF">
        <w:rPr>
          <w:rFonts w:ascii="Palatino Linotype" w:hAnsi="Palatino Linotype"/>
        </w:rPr>
        <w:t xml:space="preserve">, en lo sucesivo </w:t>
      </w:r>
      <w:r w:rsidR="00D21AFF">
        <w:rPr>
          <w:rFonts w:ascii="Palatino Linotype" w:hAnsi="Palatino Linotype"/>
          <w:b/>
        </w:rPr>
        <w:t xml:space="preserve">EL </w:t>
      </w:r>
      <w:r w:rsidRPr="00D21AFF">
        <w:rPr>
          <w:rFonts w:ascii="Palatino Linotype" w:hAnsi="Palatino Linotype"/>
          <w:b/>
        </w:rPr>
        <w:t>SUJETO OBLIGADO</w:t>
      </w:r>
      <w:r w:rsidR="00D21AFF">
        <w:rPr>
          <w:rFonts w:ascii="Palatino Linotype" w:hAnsi="Palatino Linotype"/>
          <w:b/>
        </w:rPr>
        <w:t>,</w:t>
      </w:r>
      <w:r w:rsidRPr="00D21AFF">
        <w:rPr>
          <w:rFonts w:ascii="Palatino Linotype" w:hAnsi="Palatino Linotype"/>
          <w:b/>
        </w:rPr>
        <w:t xml:space="preserve"> </w:t>
      </w:r>
      <w:r w:rsidR="00635D64" w:rsidRPr="00635D64">
        <w:rPr>
          <w:rFonts w:ascii="Palatino Linotype" w:hAnsi="Palatino Linotype"/>
        </w:rPr>
        <w:t>“</w:t>
      </w:r>
      <w:r w:rsidR="00635D64" w:rsidRPr="00635D64">
        <w:rPr>
          <w:rFonts w:ascii="Palatino Linotype" w:hAnsi="Palatino Linotype"/>
          <w:i/>
        </w:rPr>
        <w:t xml:space="preserve">Información de todas las direcciones y jefaturas, del Sistema Municipal </w:t>
      </w:r>
      <w:proofErr w:type="spellStart"/>
      <w:r w:rsidR="00635D64" w:rsidRPr="00635D64">
        <w:rPr>
          <w:rFonts w:ascii="Palatino Linotype" w:hAnsi="Palatino Linotype"/>
          <w:i/>
        </w:rPr>
        <w:t>aDif</w:t>
      </w:r>
      <w:proofErr w:type="spellEnd"/>
      <w:r w:rsidR="00635D64" w:rsidRPr="00635D64">
        <w:rPr>
          <w:rFonts w:ascii="Palatino Linotype" w:hAnsi="Palatino Linotype"/>
          <w:i/>
        </w:rPr>
        <w:t>, así como el nombre de todos los directores y jefes de departamento y sueldos que perciben</w:t>
      </w:r>
      <w:r w:rsidR="00635D64" w:rsidRPr="00635D64">
        <w:rPr>
          <w:rFonts w:ascii="Palatino Linotype" w:hAnsi="Palatino Linotype"/>
        </w:rPr>
        <w:t>.</w:t>
      </w:r>
      <w:r w:rsidR="00635D64">
        <w:rPr>
          <w:rFonts w:ascii="Palatino Linotype" w:hAnsi="Palatino Linotype"/>
        </w:rPr>
        <w:t xml:space="preserve">” </w:t>
      </w:r>
      <w:r w:rsidR="00635D64" w:rsidRPr="00635D64">
        <w:rPr>
          <w:rFonts w:ascii="Palatino Linotype" w:hAnsi="Palatino Linotype"/>
          <w:i/>
        </w:rPr>
        <w:t>(Sic)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/>
        </w:rPr>
        <w:t xml:space="preserve">Al respecto, </w:t>
      </w:r>
      <w:r w:rsidRPr="00D21AFF">
        <w:rPr>
          <w:rFonts w:ascii="Palatino Linotype" w:hAnsi="Palatino Linotype" w:cs="Arial"/>
          <w:b/>
        </w:rPr>
        <w:t xml:space="preserve">EL </w:t>
      </w:r>
      <w:r w:rsidRPr="00D21AFF">
        <w:rPr>
          <w:rFonts w:ascii="Palatino Linotype" w:hAnsi="Palatino Linotype" w:cs="Arial"/>
          <w:b/>
          <w:lang w:val="es-ES_tradnl"/>
        </w:rPr>
        <w:t>SUJETO OBLIGADO</w:t>
      </w:r>
      <w:r w:rsidRPr="00D21AFF">
        <w:rPr>
          <w:rFonts w:ascii="Palatino Linotype" w:hAnsi="Palatino Linotype" w:cs="Arial"/>
        </w:rPr>
        <w:t xml:space="preserve"> </w:t>
      </w:r>
      <w:r w:rsidR="00C52C51">
        <w:rPr>
          <w:rFonts w:ascii="Palatino Linotype" w:hAnsi="Palatino Linotype" w:cs="Arial"/>
        </w:rPr>
        <w:t xml:space="preserve">en respuesta manifestó que </w:t>
      </w:r>
      <w:r w:rsidR="00635D64">
        <w:rPr>
          <w:rFonts w:ascii="Palatino Linotype" w:hAnsi="Palatino Linotype"/>
        </w:rPr>
        <w:t xml:space="preserve">después de haber realizado una búsqueda exhaustiva no se </w:t>
      </w:r>
      <w:r w:rsidR="004B522E">
        <w:rPr>
          <w:rFonts w:ascii="Palatino Linotype" w:hAnsi="Palatino Linotype"/>
        </w:rPr>
        <w:t xml:space="preserve">encontró la </w:t>
      </w:r>
      <w:r w:rsidR="00635D64">
        <w:rPr>
          <w:rFonts w:ascii="Palatino Linotype" w:hAnsi="Palatino Linotype"/>
        </w:rPr>
        <w:t xml:space="preserve">información de todas las </w:t>
      </w:r>
      <w:r w:rsidR="00635D64">
        <w:rPr>
          <w:rFonts w:ascii="Palatino Linotype" w:hAnsi="Palatino Linotype"/>
        </w:rPr>
        <w:lastRenderedPageBreak/>
        <w:t>direcciones y jefaturas así como del nombre de los directores y jefes de departamento y los sueldos que perciben adscritos a un área llamada “</w:t>
      </w:r>
      <w:proofErr w:type="spellStart"/>
      <w:r w:rsidR="00635D64">
        <w:rPr>
          <w:rFonts w:ascii="Palatino Linotype" w:hAnsi="Palatino Linotype"/>
        </w:rPr>
        <w:t>aDIF</w:t>
      </w:r>
      <w:proofErr w:type="spellEnd"/>
      <w:r w:rsidR="00635D64">
        <w:rPr>
          <w:rFonts w:ascii="Palatino Linotype" w:hAnsi="Palatino Linotype"/>
        </w:rPr>
        <w:t>"</w:t>
      </w:r>
      <w:r w:rsidR="00635D64">
        <w:rPr>
          <w:rFonts w:ascii="Palatino Linotype" w:hAnsi="Palatino Linotype" w:cs="Arial"/>
        </w:rPr>
        <w:t>.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/>
          <w:color w:val="000000"/>
          <w:lang w:eastAsia="es-MX"/>
        </w:rPr>
        <w:t xml:space="preserve">Inconforme con </w:t>
      </w:r>
      <w:r w:rsidR="00E7525C">
        <w:rPr>
          <w:rFonts w:ascii="Palatino Linotype" w:hAnsi="Palatino Linotype"/>
          <w:color w:val="000000"/>
          <w:lang w:eastAsia="es-MX"/>
        </w:rPr>
        <w:t>la</w:t>
      </w:r>
      <w:r w:rsidRPr="00D21AFF">
        <w:rPr>
          <w:rFonts w:ascii="Palatino Linotype" w:hAnsi="Palatino Linotype"/>
          <w:color w:val="000000"/>
          <w:lang w:eastAsia="es-MX"/>
        </w:rPr>
        <w:t xml:space="preserve"> respuesta</w:t>
      </w:r>
      <w:r w:rsidR="00E7525C">
        <w:rPr>
          <w:rFonts w:ascii="Palatino Linotype" w:hAnsi="Palatino Linotype"/>
          <w:color w:val="000000"/>
          <w:lang w:eastAsia="es-MX"/>
        </w:rPr>
        <w:t xml:space="preserve"> otorgada por parte del </w:t>
      </w:r>
      <w:r w:rsidR="00E7525C" w:rsidRPr="00E7525C">
        <w:rPr>
          <w:rFonts w:ascii="Palatino Linotype" w:hAnsi="Palatino Linotype"/>
          <w:b/>
          <w:color w:val="000000"/>
          <w:lang w:eastAsia="es-MX"/>
        </w:rPr>
        <w:t>SUJETO OBLIGADO</w:t>
      </w:r>
      <w:r w:rsidR="00E7525C">
        <w:rPr>
          <w:rFonts w:ascii="Palatino Linotype" w:hAnsi="Palatino Linotype"/>
          <w:color w:val="000000"/>
          <w:lang w:eastAsia="es-MX"/>
        </w:rPr>
        <w:t>,</w:t>
      </w:r>
      <w:r w:rsidRPr="00D21AFF">
        <w:rPr>
          <w:rFonts w:ascii="Palatino Linotype" w:hAnsi="Palatino Linotype"/>
          <w:color w:val="000000"/>
          <w:lang w:eastAsia="es-MX"/>
        </w:rPr>
        <w:t xml:space="preserve"> </w:t>
      </w:r>
      <w:r w:rsidR="00DC6F6A">
        <w:rPr>
          <w:rFonts w:ascii="Palatino Linotype" w:hAnsi="Palatino Linotype"/>
          <w:b/>
          <w:color w:val="000000"/>
          <w:lang w:eastAsia="es-MX"/>
        </w:rPr>
        <w:t>L</w:t>
      </w:r>
      <w:r w:rsidR="00635D64">
        <w:rPr>
          <w:rFonts w:ascii="Palatino Linotype" w:hAnsi="Palatino Linotype"/>
          <w:b/>
          <w:color w:val="000000"/>
          <w:lang w:eastAsia="es-MX"/>
        </w:rPr>
        <w:t>A</w:t>
      </w:r>
      <w:r w:rsidRPr="00D21AFF">
        <w:rPr>
          <w:rFonts w:ascii="Palatino Linotype" w:hAnsi="Palatino Linotype"/>
          <w:b/>
          <w:color w:val="000000"/>
          <w:lang w:eastAsia="es-MX"/>
        </w:rPr>
        <w:t xml:space="preserve"> RECURRENTE</w:t>
      </w:r>
      <w:r w:rsidRPr="00D21AFF">
        <w:rPr>
          <w:rFonts w:ascii="Palatino Linotype" w:hAnsi="Palatino Linotype"/>
          <w:color w:val="000000"/>
          <w:lang w:eastAsia="es-MX"/>
        </w:rPr>
        <w:t xml:space="preserve"> </w:t>
      </w:r>
      <w:r w:rsidRPr="00D21AFF">
        <w:rPr>
          <w:rFonts w:ascii="Palatino Linotype" w:hAnsi="Palatino Linotype" w:cs="Arial"/>
        </w:rPr>
        <w:t>interpuso el recurso de revisión de mérito, mediante el cual señaló como acto impugnado:</w:t>
      </w:r>
    </w:p>
    <w:p w:rsidR="005D5E8E" w:rsidRPr="00D21AFF" w:rsidRDefault="00DC6F6A" w:rsidP="00710DD6">
      <w:pPr>
        <w:spacing w:before="100" w:beforeAutospacing="1" w:after="100" w:afterAutospacing="1"/>
        <w:ind w:left="851" w:right="899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635D64" w:rsidRPr="00635D64">
        <w:rPr>
          <w:rFonts w:ascii="Palatino Linotype" w:hAnsi="Palatino Linotype"/>
          <w:i/>
          <w:color w:val="000000"/>
          <w:sz w:val="22"/>
          <w:szCs w:val="22"/>
        </w:rPr>
        <w:t>La negativa a la información solicitada</w:t>
      </w:r>
      <w:proofErr w:type="gramStart"/>
      <w:r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(</w:t>
      </w:r>
      <w:proofErr w:type="gramEnd"/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sic)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>Asimismo, manifestó como razones o motivos de inconformidad, lo siguiente:</w:t>
      </w:r>
    </w:p>
    <w:p w:rsidR="005D5E8E" w:rsidRPr="00D21AFF" w:rsidRDefault="005D5E8E" w:rsidP="00710DD6">
      <w:pPr>
        <w:spacing w:before="100" w:beforeAutospacing="1" w:after="100" w:afterAutospacing="1"/>
        <w:ind w:left="851" w:right="851"/>
        <w:jc w:val="both"/>
        <w:rPr>
          <w:rFonts w:ascii="Palatino Linotype" w:hAnsi="Palatino Linotype" w:cs="Arial"/>
          <w:i/>
          <w:sz w:val="22"/>
          <w:szCs w:val="22"/>
        </w:rPr>
      </w:pPr>
      <w:r w:rsidRPr="00D21AFF">
        <w:rPr>
          <w:rFonts w:ascii="Palatino Linotype" w:hAnsi="Palatino Linotype" w:cs="Arial"/>
          <w:i/>
          <w:sz w:val="22"/>
          <w:szCs w:val="22"/>
        </w:rPr>
        <w:t>“</w:t>
      </w:r>
      <w:r w:rsidR="00635D64" w:rsidRPr="00635D64">
        <w:rPr>
          <w:rFonts w:ascii="Palatino Linotype" w:hAnsi="Palatino Linotype"/>
          <w:i/>
          <w:color w:val="000000"/>
          <w:sz w:val="22"/>
          <w:szCs w:val="22"/>
        </w:rPr>
        <w:t>La respuesta emitida por la Dirección de Administración y Finanzas del Sistema Municipal para el Desarrollo Integral de la Familia de Cuautitlán Izcalli, es carente de veracidad ya que es incongruente e inverosímil que supuestamente después de realizar una búsqueda exhaustiva no cuenten con información de todas las direcciones y jefaturas, del Sistema Municipal DIF, así como el nombre de todos los directores, jefes de departamento y sueldos que perciben, ya que debido a un error mecanográfico se escribió una la letra (a) antes de la palabra DIF, eso no quiere decir que no se entienda lo que se está solicitando, y ahora bien si se hubiese tenido alguna duda de la solicitud se hubiera estado a lo dispuesto por el artículo 159 de la Ley de Transparencia y Acceso a la Información Pública del Estado de México y Municipios, la Unidad de Transparencia hubiera requerido la aclaración de la misma, lo cual no aconteció, por lo cual no se quiso proporcionar la información solicitada.</w:t>
      </w:r>
      <w:r w:rsidRPr="001A34E9">
        <w:rPr>
          <w:rFonts w:ascii="Palatino Linotype" w:hAnsi="Palatino Linotype" w:cs="Arial"/>
          <w:i/>
          <w:sz w:val="22"/>
          <w:szCs w:val="22"/>
        </w:rPr>
        <w:t>”</w:t>
      </w:r>
      <w:r w:rsidRPr="00D21AFF">
        <w:rPr>
          <w:rFonts w:ascii="Palatino Linotype" w:hAnsi="Palatino Linotype" w:cs="Arial"/>
          <w:i/>
          <w:sz w:val="22"/>
          <w:szCs w:val="22"/>
        </w:rPr>
        <w:t xml:space="preserve"> (</w:t>
      </w:r>
      <w:proofErr w:type="gramStart"/>
      <w:r w:rsidRPr="00D21AFF">
        <w:rPr>
          <w:rFonts w:ascii="Palatino Linotype" w:hAnsi="Palatino Linotype" w:cs="Arial"/>
          <w:i/>
          <w:sz w:val="22"/>
          <w:szCs w:val="22"/>
        </w:rPr>
        <w:t>sic</w:t>
      </w:r>
      <w:proofErr w:type="gramEnd"/>
      <w:r w:rsidRPr="00D21AFF">
        <w:rPr>
          <w:rFonts w:ascii="Palatino Linotype" w:hAnsi="Palatino Linotype" w:cs="Arial"/>
          <w:i/>
          <w:sz w:val="22"/>
          <w:szCs w:val="22"/>
        </w:rPr>
        <w:t>)</w:t>
      </w:r>
    </w:p>
    <w:p w:rsidR="005D5E8E" w:rsidRDefault="005D5E8E" w:rsidP="00D21AFF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color w:val="000000"/>
        </w:rPr>
      </w:pPr>
      <w:r w:rsidRPr="00D21AFF">
        <w:rPr>
          <w:rFonts w:ascii="Palatino Linotype" w:hAnsi="Palatino Linotype" w:cs="Arial"/>
        </w:rPr>
        <w:t xml:space="preserve">Siendo así, la Ponencia </w:t>
      </w:r>
      <w:proofErr w:type="spellStart"/>
      <w:r w:rsidRPr="00D21AFF">
        <w:rPr>
          <w:rFonts w:ascii="Palatino Linotype" w:hAnsi="Palatino Linotype" w:cs="Arial"/>
        </w:rPr>
        <w:t>Resolutora</w:t>
      </w:r>
      <w:proofErr w:type="spellEnd"/>
      <w:r w:rsidRPr="00D21AFF">
        <w:rPr>
          <w:rFonts w:ascii="Palatino Linotype" w:hAnsi="Palatino Linotype" w:cs="Arial"/>
        </w:rPr>
        <w:t xml:space="preserve"> al emitir la resolución concluyó que </w:t>
      </w:r>
      <w:r w:rsidRPr="00D21AFF">
        <w:rPr>
          <w:rFonts w:ascii="Palatino Linotype" w:hAnsi="Palatino Linotype" w:cs="Arial"/>
          <w:i/>
        </w:rPr>
        <w:t>“</w:t>
      </w:r>
      <w:r w:rsidRPr="00D21AFF">
        <w:rPr>
          <w:rFonts w:ascii="Palatino Linotype" w:hAnsi="Palatino Linotype" w:cs="Arial"/>
          <w:b/>
        </w:rPr>
        <w:t>Resultan fundados</w:t>
      </w:r>
      <w:r w:rsidRPr="00D21AFF">
        <w:rPr>
          <w:rFonts w:ascii="Palatino Linotype" w:hAnsi="Palatino Linotype" w:cs="Arial"/>
        </w:rPr>
        <w:t xml:space="preserve"> los motivos de inconformidad hechos valer por </w:t>
      </w:r>
      <w:r w:rsidR="00DC6F6A">
        <w:rPr>
          <w:rFonts w:ascii="Palatino Linotype" w:hAnsi="Palatino Linotype" w:cs="Arial"/>
          <w:b/>
        </w:rPr>
        <w:t>L</w:t>
      </w:r>
      <w:r w:rsidR="006016A4">
        <w:rPr>
          <w:rFonts w:ascii="Palatino Linotype" w:hAnsi="Palatino Linotype" w:cs="Arial"/>
          <w:b/>
        </w:rPr>
        <w:t>A</w:t>
      </w:r>
      <w:r w:rsidRPr="00D21AFF">
        <w:rPr>
          <w:rFonts w:ascii="Palatino Linotype" w:hAnsi="Palatino Linotype" w:cs="Arial"/>
          <w:b/>
        </w:rPr>
        <w:t xml:space="preserve"> RECURRENTE</w:t>
      </w:r>
      <w:r w:rsidRPr="00D21AFF">
        <w:rPr>
          <w:rFonts w:ascii="Palatino Linotype" w:hAnsi="Palatino Linotype" w:cs="Arial"/>
          <w:i/>
        </w:rPr>
        <w:t>…”</w:t>
      </w:r>
      <w:r w:rsidRPr="00D21AFF">
        <w:rPr>
          <w:rFonts w:ascii="Palatino Linotype" w:hAnsi="Palatino Linotype" w:cs="Arial"/>
        </w:rPr>
        <w:t>, en consecuencia, se determinó</w:t>
      </w:r>
      <w:r w:rsidRPr="00D21AFF">
        <w:rPr>
          <w:rFonts w:ascii="Palatino Linotype" w:hAnsi="Palatino Linotype"/>
          <w:color w:val="000000"/>
        </w:rPr>
        <w:t xml:space="preserve"> </w:t>
      </w:r>
      <w:r w:rsidR="006016A4">
        <w:rPr>
          <w:rFonts w:ascii="Palatino Linotype" w:hAnsi="Palatino Linotype"/>
          <w:b/>
          <w:color w:val="000000"/>
        </w:rPr>
        <w:t xml:space="preserve">REVOCAR </w:t>
      </w:r>
      <w:r w:rsidR="006016A4" w:rsidRPr="006016A4">
        <w:rPr>
          <w:rFonts w:ascii="Palatino Linotype" w:hAnsi="Palatino Linotype"/>
          <w:color w:val="000000"/>
        </w:rPr>
        <w:t>la respuesta a la solicitud de información y ordenar</w:t>
      </w:r>
      <w:r w:rsidRPr="006016A4">
        <w:rPr>
          <w:rFonts w:ascii="Palatino Linotype" w:hAnsi="Palatino Linotype"/>
          <w:color w:val="000000"/>
        </w:rPr>
        <w:t xml:space="preserve"> </w:t>
      </w:r>
      <w:r w:rsidR="00DC6F6A" w:rsidRPr="0065070A">
        <w:rPr>
          <w:rFonts w:ascii="Palatino Linotype" w:hAnsi="Palatino Linotype"/>
          <w:color w:val="000000"/>
        </w:rPr>
        <w:t xml:space="preserve">al </w:t>
      </w:r>
      <w:r w:rsidR="004B522E">
        <w:rPr>
          <w:rFonts w:ascii="Palatino Linotype" w:hAnsi="Palatino Linotype"/>
          <w:color w:val="000000"/>
        </w:rPr>
        <w:t>Sistema Municipal p</w:t>
      </w:r>
      <w:r w:rsidR="00D013F3" w:rsidRPr="00D013F3">
        <w:rPr>
          <w:rFonts w:ascii="Palatino Linotype" w:hAnsi="Palatino Linotype"/>
          <w:color w:val="000000"/>
        </w:rPr>
        <w:t>ara el Desarrollo Integral de la Familia de Cuautitlán Izcalli</w:t>
      </w:r>
      <w:r w:rsidR="00D013F3">
        <w:rPr>
          <w:rFonts w:ascii="Palatino Linotype" w:hAnsi="Palatino Linotype"/>
          <w:color w:val="000000"/>
        </w:rPr>
        <w:t xml:space="preserve"> </w:t>
      </w:r>
      <w:r w:rsidR="00DC6F6A" w:rsidRPr="0065070A">
        <w:rPr>
          <w:rFonts w:ascii="Palatino Linotype" w:hAnsi="Palatino Linotype"/>
          <w:color w:val="000000"/>
        </w:rPr>
        <w:t xml:space="preserve">entregar </w:t>
      </w:r>
      <w:r w:rsidR="006016A4">
        <w:rPr>
          <w:rFonts w:ascii="Palatino Linotype" w:hAnsi="Palatino Linotype"/>
          <w:color w:val="000000"/>
        </w:rPr>
        <w:t xml:space="preserve">previa búsqueda exhaustiva y razonable, </w:t>
      </w:r>
      <w:r w:rsidR="00DC6F6A" w:rsidRPr="0065070A">
        <w:rPr>
          <w:rFonts w:ascii="Palatino Linotype" w:hAnsi="Palatino Linotype"/>
          <w:color w:val="000000"/>
        </w:rPr>
        <w:t>v</w:t>
      </w:r>
      <w:r w:rsidR="0065070A">
        <w:rPr>
          <w:rFonts w:ascii="Palatino Linotype" w:hAnsi="Palatino Linotype"/>
          <w:color w:val="000000"/>
        </w:rPr>
        <w:t>ía SAIMEX y</w:t>
      </w:r>
      <w:r w:rsidR="006016A4">
        <w:rPr>
          <w:rFonts w:ascii="Palatino Linotype" w:hAnsi="Palatino Linotype"/>
          <w:color w:val="000000"/>
        </w:rPr>
        <w:t xml:space="preserve"> en versión pública, de los documentos </w:t>
      </w:r>
      <w:r w:rsidR="00D013F3">
        <w:rPr>
          <w:rFonts w:ascii="Palatino Linotype" w:hAnsi="Palatino Linotype"/>
          <w:color w:val="000000"/>
        </w:rPr>
        <w:t>de los que se pueda advertir lo siguiente:</w:t>
      </w:r>
    </w:p>
    <w:p w:rsidR="00D013F3" w:rsidRPr="00D013F3" w:rsidRDefault="00D013F3" w:rsidP="00D013F3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/>
          <w:i/>
          <w:color w:val="000000"/>
          <w:sz w:val="22"/>
        </w:rPr>
      </w:pPr>
      <w:r w:rsidRPr="00D013F3">
        <w:rPr>
          <w:rFonts w:ascii="Palatino Linotype" w:hAnsi="Palatino Linotype"/>
          <w:i/>
          <w:color w:val="000000"/>
          <w:sz w:val="22"/>
        </w:rPr>
        <w:lastRenderedPageBreak/>
        <w:t>a)</w:t>
      </w:r>
      <w:r w:rsidRPr="00D013F3">
        <w:rPr>
          <w:rFonts w:ascii="Palatino Linotype" w:hAnsi="Palatino Linotype"/>
          <w:i/>
          <w:color w:val="000000"/>
          <w:sz w:val="22"/>
        </w:rPr>
        <w:tab/>
        <w:t>Las direcciones y jefaturas con las que cuenta el Sistema Municipal para el Desarrollo Integral de la Familia de Cuautitlán Izcalli actualizado al treinta de julio de dos mil dieciocho.</w:t>
      </w:r>
    </w:p>
    <w:p w:rsidR="00D013F3" w:rsidRDefault="00D013F3" w:rsidP="00D013F3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/>
          <w:i/>
          <w:color w:val="000000"/>
          <w:sz w:val="22"/>
        </w:rPr>
      </w:pPr>
      <w:r w:rsidRPr="00D013F3">
        <w:rPr>
          <w:rFonts w:ascii="Palatino Linotype" w:hAnsi="Palatino Linotype"/>
          <w:i/>
          <w:color w:val="000000"/>
          <w:sz w:val="22"/>
        </w:rPr>
        <w:t>b)</w:t>
      </w:r>
      <w:r w:rsidRPr="00D013F3">
        <w:rPr>
          <w:rFonts w:ascii="Palatino Linotype" w:hAnsi="Palatino Linotype"/>
          <w:i/>
          <w:color w:val="000000"/>
          <w:sz w:val="22"/>
        </w:rPr>
        <w:tab/>
        <w:t>El nombre y sueldos de los directores y jefes de departamento actualizado al treinta de julio de dos mil dieciocho.</w:t>
      </w:r>
    </w:p>
    <w:p w:rsidR="00BE555A" w:rsidRDefault="005D5E8E" w:rsidP="00D013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  <w:lang w:eastAsia="es-CO"/>
        </w:rPr>
        <w:t xml:space="preserve">En ese sentido, </w:t>
      </w:r>
      <w:r w:rsidRPr="00D21AFF">
        <w:rPr>
          <w:rFonts w:ascii="Palatino Linotype" w:hAnsi="Palatino Linotype"/>
          <w:color w:val="000000"/>
        </w:rPr>
        <w:t xml:space="preserve">no pasa desapercibido el hecho de que, a pesar de ser sustancialmente fundado lo manifestado por </w:t>
      </w:r>
      <w:r w:rsidR="0065070A">
        <w:rPr>
          <w:rFonts w:ascii="Palatino Linotype" w:hAnsi="Palatino Linotype"/>
          <w:b/>
          <w:color w:val="000000"/>
        </w:rPr>
        <w:t>L</w:t>
      </w:r>
      <w:r w:rsidR="00CE38E8">
        <w:rPr>
          <w:rFonts w:ascii="Palatino Linotype" w:hAnsi="Palatino Linotype"/>
          <w:b/>
          <w:color w:val="000000"/>
        </w:rPr>
        <w:t>A</w:t>
      </w:r>
      <w:r w:rsidRPr="00D21AFF">
        <w:rPr>
          <w:rFonts w:ascii="Palatino Linotype" w:hAnsi="Palatino Linotype"/>
          <w:color w:val="000000"/>
        </w:rPr>
        <w:t xml:space="preserve"> </w:t>
      </w:r>
      <w:r w:rsidRPr="00D21AFF">
        <w:rPr>
          <w:rFonts w:ascii="Palatino Linotype" w:hAnsi="Palatino Linotype"/>
          <w:b/>
          <w:color w:val="000000"/>
        </w:rPr>
        <w:t>RECURRENTE</w:t>
      </w:r>
      <w:r w:rsidRPr="00D21AFF">
        <w:rPr>
          <w:rFonts w:ascii="Palatino Linotype" w:hAnsi="Palatino Linotype"/>
          <w:color w:val="000000"/>
        </w:rPr>
        <w:t>, tal como</w:t>
      </w:r>
      <w:r w:rsidR="004B522E">
        <w:rPr>
          <w:rFonts w:ascii="Palatino Linotype" w:hAnsi="Palatino Linotype"/>
          <w:color w:val="000000"/>
        </w:rPr>
        <w:t xml:space="preserve"> fue sostenido y resuelto por el Comisionado</w:t>
      </w:r>
      <w:r w:rsidRPr="00D21AFF">
        <w:rPr>
          <w:rFonts w:ascii="Palatino Linotype" w:hAnsi="Palatino Linotype"/>
          <w:color w:val="000000"/>
        </w:rPr>
        <w:t xml:space="preserve"> Ponente, la suscrita advierte que en dicho fallo debió precisarse que las manifestaciones hechas por </w:t>
      </w:r>
      <w:r w:rsidR="0065070A">
        <w:rPr>
          <w:rFonts w:ascii="Palatino Linotype" w:hAnsi="Palatino Linotype"/>
          <w:color w:val="000000"/>
        </w:rPr>
        <w:t>l</w:t>
      </w:r>
      <w:r w:rsidR="00CE38E8">
        <w:rPr>
          <w:rFonts w:ascii="Palatino Linotype" w:hAnsi="Palatino Linotype"/>
          <w:color w:val="000000"/>
        </w:rPr>
        <w:t>a</w:t>
      </w:r>
      <w:r w:rsidRPr="00D21AFF">
        <w:rPr>
          <w:rFonts w:ascii="Palatino Linotype" w:hAnsi="Palatino Linotype"/>
          <w:color w:val="000000"/>
        </w:rPr>
        <w:t xml:space="preserve"> particular</w:t>
      </w:r>
      <w:r w:rsidRPr="00D21AFF">
        <w:rPr>
          <w:rFonts w:ascii="Palatino Linotype" w:hAnsi="Palatino Linotype"/>
          <w:b/>
          <w:color w:val="000000"/>
        </w:rPr>
        <w:t>,</w:t>
      </w:r>
      <w:r w:rsidRPr="00D21AFF">
        <w:rPr>
          <w:rFonts w:ascii="Palatino Linotype" w:hAnsi="Palatino Linotype"/>
          <w:color w:val="000000"/>
        </w:rPr>
        <w:t xml:space="preserve"> resultan parcialmente fundadas en virtud de que, en sus motivos de inconformidad señala “</w:t>
      </w:r>
      <w:r w:rsidR="009470AD">
        <w:rPr>
          <w:rFonts w:ascii="Palatino Linotype" w:hAnsi="Palatino Linotype"/>
          <w:i/>
          <w:color w:val="000000"/>
          <w:sz w:val="22"/>
          <w:szCs w:val="22"/>
        </w:rPr>
        <w:t xml:space="preserve">… </w:t>
      </w:r>
      <w:r w:rsidR="009470AD" w:rsidRPr="009470AD">
        <w:rPr>
          <w:rFonts w:ascii="Palatino Linotype" w:hAnsi="Palatino Linotype"/>
          <w:i/>
          <w:color w:val="000000"/>
          <w:sz w:val="22"/>
          <w:szCs w:val="22"/>
        </w:rPr>
        <w:t>es carente de veracidad ya que es incongruente e inverosímil</w:t>
      </w:r>
      <w:r w:rsidR="004B522E">
        <w:rPr>
          <w:rFonts w:ascii="Palatino Linotype" w:hAnsi="Palatino Linotype"/>
          <w:i/>
          <w:color w:val="000000"/>
          <w:sz w:val="22"/>
          <w:szCs w:val="22"/>
        </w:rPr>
        <w:t xml:space="preserve"> …</w:t>
      </w:r>
      <w:r w:rsidRPr="00D21AFF"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="0065070A">
        <w:rPr>
          <w:rFonts w:ascii="Palatino Linotype" w:hAnsi="Palatino Linotype"/>
          <w:i/>
          <w:color w:val="000000"/>
          <w:sz w:val="22"/>
          <w:szCs w:val="22"/>
        </w:rPr>
        <w:t xml:space="preserve"> </w:t>
      </w:r>
      <w:r w:rsidRPr="00D21AFF">
        <w:rPr>
          <w:rFonts w:ascii="Palatino Linotype" w:hAnsi="Palatino Linotype"/>
          <w:color w:val="000000"/>
        </w:rPr>
        <w:t xml:space="preserve">en ese sentido, </w:t>
      </w:r>
      <w:r w:rsidRPr="00D21AFF">
        <w:rPr>
          <w:rFonts w:ascii="Palatino Linotype" w:hAnsi="Palatino Linotype" w:cs="Arial"/>
        </w:rPr>
        <w:t>al señalar en la resolución que resultan fundados los motivos de inconformidad, tal parece que se refiere a todos y cada uno de</w:t>
      </w:r>
      <w:r w:rsidR="00CE38E8">
        <w:rPr>
          <w:rFonts w:ascii="Palatino Linotype" w:hAnsi="Palatino Linotype" w:cs="Arial"/>
        </w:rPr>
        <w:t xml:space="preserve"> los argumentos expuestos por </w:t>
      </w:r>
      <w:r w:rsidR="0065070A">
        <w:rPr>
          <w:rFonts w:ascii="Palatino Linotype" w:hAnsi="Palatino Linotype" w:cs="Arial"/>
        </w:rPr>
        <w:t>l</w:t>
      </w:r>
      <w:r w:rsidR="00CE38E8">
        <w:rPr>
          <w:rFonts w:ascii="Palatino Linotype" w:hAnsi="Palatino Linotype" w:cs="Arial"/>
        </w:rPr>
        <w:t>a</w:t>
      </w:r>
      <w:r w:rsidRPr="00D21AFF">
        <w:rPr>
          <w:rFonts w:ascii="Palatino Linotype" w:hAnsi="Palatino Linotype" w:cs="Arial"/>
        </w:rPr>
        <w:t xml:space="preserve"> solicitante, aun cuando éstos últimos resultan ser manifestaciones subjetivas, por ende se trata de afirmaciones realizadas por </w:t>
      </w:r>
      <w:r w:rsidR="0065070A">
        <w:rPr>
          <w:rFonts w:ascii="Palatino Linotype" w:hAnsi="Palatino Linotype" w:cs="Arial"/>
          <w:b/>
        </w:rPr>
        <w:t>L</w:t>
      </w:r>
      <w:r w:rsidR="00CE38E8">
        <w:rPr>
          <w:rFonts w:ascii="Palatino Linotype" w:hAnsi="Palatino Linotype" w:cs="Arial"/>
          <w:b/>
        </w:rPr>
        <w:t>A</w:t>
      </w:r>
      <w:r w:rsidRPr="00D21AFF">
        <w:rPr>
          <w:rFonts w:ascii="Palatino Linotype" w:hAnsi="Palatino Linotype" w:cs="Arial"/>
          <w:b/>
        </w:rPr>
        <w:t xml:space="preserve"> RECURRENTE</w:t>
      </w:r>
      <w:r w:rsidR="00BE555A">
        <w:rPr>
          <w:rFonts w:ascii="Palatino Linotype" w:hAnsi="Palatino Linotype" w:cs="Arial"/>
          <w:b/>
        </w:rPr>
        <w:t xml:space="preserve">; </w:t>
      </w:r>
      <w:r w:rsidR="00BE555A" w:rsidRPr="00BE555A">
        <w:rPr>
          <w:rFonts w:ascii="Palatino Linotype" w:hAnsi="Palatino Linotype" w:cs="Arial"/>
        </w:rPr>
        <w:t xml:space="preserve">por lo cual, lo procedente era precisar que las razones o motivos de inconformidad resultaron </w:t>
      </w:r>
      <w:r w:rsidR="00BE555A" w:rsidRPr="004F3DB5">
        <w:rPr>
          <w:rFonts w:ascii="Palatino Linotype" w:hAnsi="Palatino Linotype" w:cs="Arial"/>
          <w:b/>
        </w:rPr>
        <w:t>parcialmente fundadas</w:t>
      </w:r>
      <w:r w:rsidR="00BE555A" w:rsidRPr="00BE555A">
        <w:rPr>
          <w:rFonts w:ascii="Palatino Linotype" w:hAnsi="Palatino Linotype" w:cs="Arial"/>
        </w:rPr>
        <w:t>, ya que dichas manifestaciones resultan improcedentes, pues del artículo 36 de la Ley de la materia, no se desprende que este Instituto tenga facultades para pronunciarse sobre las mismas.</w:t>
      </w:r>
      <w:r w:rsidR="00BE555A">
        <w:rPr>
          <w:rFonts w:ascii="Palatino Linotype" w:hAnsi="Palatino Linotype" w:cs="Arial"/>
        </w:rPr>
        <w:t xml:space="preserve"> 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 xml:space="preserve">Por lo cual, la que suscribe emite </w:t>
      </w:r>
      <w:r w:rsidRPr="00D21AFF">
        <w:rPr>
          <w:rFonts w:ascii="Palatino Linotype" w:hAnsi="Palatino Linotype" w:cs="Arial"/>
          <w:b/>
        </w:rPr>
        <w:t>OPINIÓN PARTICULAR</w:t>
      </w:r>
      <w:r w:rsidRPr="00D21AFF">
        <w:rPr>
          <w:rFonts w:ascii="Palatino Linotype" w:hAnsi="Palatino Linotype" w:cs="Arial"/>
        </w:rPr>
        <w:t xml:space="preserve"> y con independencia de que se comparta el fallo, tanto en lo general como en su sentido, lo procedente sería precisar que las razones o motivos de inconformidad</w:t>
      </w:r>
      <w:r w:rsidR="00E279C5">
        <w:rPr>
          <w:rFonts w:ascii="Palatino Linotype" w:hAnsi="Palatino Linotype" w:cs="Arial"/>
        </w:rPr>
        <w:t xml:space="preserve"> resultaron</w:t>
      </w:r>
      <w:r w:rsidRPr="00D21AFF">
        <w:rPr>
          <w:rFonts w:ascii="Palatino Linotype" w:hAnsi="Palatino Linotype" w:cs="Arial"/>
        </w:rPr>
        <w:t xml:space="preserve"> </w:t>
      </w:r>
      <w:r w:rsidRPr="00D21AFF">
        <w:rPr>
          <w:rFonts w:ascii="Palatino Linotype" w:hAnsi="Palatino Linotype" w:cs="Arial"/>
          <w:b/>
        </w:rPr>
        <w:t>parcialmente</w:t>
      </w:r>
      <w:r w:rsidRPr="00D21AFF">
        <w:rPr>
          <w:rFonts w:ascii="Palatino Linotype" w:hAnsi="Palatino Linotype" w:cs="Arial"/>
        </w:rPr>
        <w:t xml:space="preserve"> </w:t>
      </w:r>
      <w:r w:rsidRPr="00BE555A">
        <w:rPr>
          <w:rFonts w:ascii="Palatino Linotype" w:hAnsi="Palatino Linotype" w:cs="Arial"/>
          <w:b/>
        </w:rPr>
        <w:lastRenderedPageBreak/>
        <w:t>fundadas</w:t>
      </w:r>
      <w:r w:rsidR="003B13D0">
        <w:rPr>
          <w:rFonts w:ascii="Palatino Linotype" w:hAnsi="Palatino Linotype" w:cs="Arial"/>
        </w:rPr>
        <w:t>, ya que la</w:t>
      </w:r>
      <w:r w:rsidRPr="00D21AFF">
        <w:rPr>
          <w:rFonts w:ascii="Palatino Linotype" w:hAnsi="Palatino Linotype" w:cs="Arial"/>
        </w:rPr>
        <w:t>s manifestaciones resultan improcedentes</w:t>
      </w:r>
      <w:r w:rsidR="00E279C5">
        <w:rPr>
          <w:rFonts w:ascii="Palatino Linotype" w:hAnsi="Palatino Linotype" w:cs="Arial"/>
        </w:rPr>
        <w:t xml:space="preserve"> para su análisis mediante el medio de impugnación de que se trata</w:t>
      </w:r>
      <w:r w:rsidRPr="00D21AFF">
        <w:rPr>
          <w:rFonts w:ascii="Palatino Linotype" w:hAnsi="Palatino Linotype" w:cs="Arial"/>
        </w:rPr>
        <w:t xml:space="preserve">. </w:t>
      </w:r>
    </w:p>
    <w:p w:rsidR="0065070A" w:rsidRDefault="0065070A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4B522E" w:rsidRDefault="004B522E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4B522E" w:rsidRDefault="004B522E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BE555A" w:rsidRDefault="00BE555A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BE555A" w:rsidRDefault="00BE555A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BE555A" w:rsidRPr="00D21AFF" w:rsidRDefault="00BE555A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5D5E8E" w:rsidRPr="00D21AFF" w:rsidRDefault="005D5E8E" w:rsidP="0065070A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 xml:space="preserve">EVA ABAID YAPUR </w:t>
      </w:r>
    </w:p>
    <w:p w:rsidR="005D5E8E" w:rsidRDefault="005D5E8E" w:rsidP="0065070A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>COMISIONADA</w:t>
      </w:r>
    </w:p>
    <w:p w:rsidR="000836D6" w:rsidRPr="00D21AFF" w:rsidRDefault="000836D6" w:rsidP="0065070A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/>
          <w:b/>
        </w:rPr>
        <w:t>(RÚBRICA)</w:t>
      </w:r>
      <w:bookmarkStart w:id="0" w:name="_GoBack"/>
      <w:bookmarkEnd w:id="0"/>
    </w:p>
    <w:p w:rsidR="00BE555A" w:rsidRDefault="00BE555A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BE555A" w:rsidRDefault="00BE555A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BE555A" w:rsidRDefault="00BE555A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BE555A" w:rsidRDefault="00BE555A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1A34E9" w:rsidRDefault="001A34E9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1A34E9" w:rsidRDefault="001A34E9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D068FC" w:rsidRDefault="00D068FC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D068FC" w:rsidRDefault="00D068FC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D068FC" w:rsidRDefault="00D068FC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1A34E9" w:rsidRDefault="001A34E9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680112" w:rsidRDefault="00680112" w:rsidP="00680112">
      <w:pPr>
        <w:jc w:val="both"/>
        <w:rPr>
          <w:rFonts w:ascii="Palatino Linotype" w:hAnsi="Palatino Linotype" w:cs="Arial"/>
          <w:sz w:val="20"/>
          <w:szCs w:val="18"/>
        </w:rPr>
      </w:pPr>
      <w:r w:rsidRPr="001A34E9">
        <w:rPr>
          <w:rFonts w:ascii="Palatino Linotype" w:hAnsi="Palatino Linotype" w:cs="Arial"/>
          <w:sz w:val="20"/>
          <w:szCs w:val="18"/>
        </w:rPr>
        <w:t>Esta hoja corresponde a la opinión particular emitid</w:t>
      </w:r>
      <w:r w:rsidR="00BE555A" w:rsidRPr="001A34E9">
        <w:rPr>
          <w:rFonts w:ascii="Palatino Linotype" w:hAnsi="Palatino Linotype" w:cs="Arial"/>
          <w:sz w:val="20"/>
          <w:szCs w:val="18"/>
        </w:rPr>
        <w:t xml:space="preserve">a en </w:t>
      </w:r>
      <w:r w:rsidR="001A34E9">
        <w:rPr>
          <w:rFonts w:ascii="Palatino Linotype" w:hAnsi="Palatino Linotype" w:cs="Arial"/>
          <w:sz w:val="20"/>
          <w:szCs w:val="18"/>
        </w:rPr>
        <w:t>la resolución d</w:t>
      </w:r>
      <w:r w:rsidR="00BA4E0A">
        <w:rPr>
          <w:rFonts w:ascii="Palatino Linotype" w:hAnsi="Palatino Linotype" w:cs="Arial"/>
          <w:sz w:val="20"/>
          <w:szCs w:val="18"/>
        </w:rPr>
        <w:t>el recurso de revisión 03179</w:t>
      </w:r>
      <w:r w:rsidRPr="001A34E9">
        <w:rPr>
          <w:rFonts w:ascii="Palatino Linotype" w:hAnsi="Palatino Linotype" w:cs="Arial"/>
          <w:sz w:val="20"/>
          <w:szCs w:val="18"/>
        </w:rPr>
        <w:t>/INF</w:t>
      </w:r>
      <w:r w:rsidR="001A34E9">
        <w:rPr>
          <w:rFonts w:ascii="Palatino Linotype" w:hAnsi="Palatino Linotype" w:cs="Arial"/>
          <w:sz w:val="20"/>
          <w:szCs w:val="18"/>
        </w:rPr>
        <w:t>OEM/IP/RR/2018</w:t>
      </w:r>
      <w:r w:rsidR="00BE555A" w:rsidRPr="001A34E9">
        <w:rPr>
          <w:rFonts w:ascii="Palatino Linotype" w:hAnsi="Palatino Linotype" w:cs="Arial"/>
          <w:sz w:val="20"/>
          <w:szCs w:val="18"/>
        </w:rPr>
        <w:t xml:space="preserve"> aprobada el d</w:t>
      </w:r>
      <w:r w:rsidR="00BA4E0A">
        <w:rPr>
          <w:rFonts w:ascii="Palatino Linotype" w:hAnsi="Palatino Linotype" w:cs="Arial"/>
          <w:sz w:val="20"/>
          <w:szCs w:val="18"/>
        </w:rPr>
        <w:t xml:space="preserve">iecisiete </w:t>
      </w:r>
      <w:r w:rsidRPr="001A34E9">
        <w:rPr>
          <w:rFonts w:ascii="Palatino Linotype" w:hAnsi="Palatino Linotype" w:cs="Arial"/>
          <w:sz w:val="20"/>
          <w:szCs w:val="18"/>
        </w:rPr>
        <w:t xml:space="preserve">de </w:t>
      </w:r>
      <w:r w:rsidR="00BA4E0A">
        <w:rPr>
          <w:rFonts w:ascii="Palatino Linotype" w:hAnsi="Palatino Linotype" w:cs="Arial"/>
          <w:sz w:val="20"/>
          <w:szCs w:val="18"/>
        </w:rPr>
        <w:t xml:space="preserve">octubre </w:t>
      </w:r>
      <w:r w:rsidRPr="001A34E9">
        <w:rPr>
          <w:rFonts w:ascii="Palatino Linotype" w:hAnsi="Palatino Linotype" w:cs="Arial"/>
          <w:sz w:val="20"/>
          <w:szCs w:val="18"/>
        </w:rPr>
        <w:t>de dos mil dieciocho.</w:t>
      </w:r>
    </w:p>
    <w:p w:rsidR="003B13D0" w:rsidRPr="003B13D0" w:rsidRDefault="003B13D0" w:rsidP="00680112">
      <w:pPr>
        <w:jc w:val="both"/>
        <w:rPr>
          <w:rFonts w:ascii="Palatino Linotype" w:hAnsi="Palatino Linotype" w:cs="Arial"/>
          <w:sz w:val="10"/>
          <w:szCs w:val="18"/>
        </w:rPr>
      </w:pPr>
    </w:p>
    <w:p w:rsidR="005D5E8E" w:rsidRPr="001A34E9" w:rsidRDefault="00BE555A" w:rsidP="00680112">
      <w:pPr>
        <w:jc w:val="both"/>
        <w:rPr>
          <w:rFonts w:ascii="Palatino Linotype" w:hAnsi="Palatino Linotype"/>
          <w:sz w:val="20"/>
          <w:szCs w:val="18"/>
        </w:rPr>
      </w:pPr>
      <w:r w:rsidRPr="001A34E9">
        <w:rPr>
          <w:rFonts w:ascii="Palatino Linotype" w:hAnsi="Palatino Linotype" w:cs="Arial"/>
          <w:sz w:val="20"/>
          <w:szCs w:val="18"/>
        </w:rPr>
        <w:t>YSM</w:t>
      </w:r>
      <w:r w:rsidR="00680112" w:rsidRPr="001A34E9">
        <w:rPr>
          <w:rFonts w:ascii="Palatino Linotype" w:hAnsi="Palatino Linotype" w:cs="Arial"/>
          <w:sz w:val="20"/>
          <w:szCs w:val="18"/>
        </w:rPr>
        <w:t>/IAHA</w:t>
      </w:r>
    </w:p>
    <w:sectPr w:rsidR="005D5E8E" w:rsidRPr="001A34E9" w:rsidSect="00C062F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49" w:rsidRDefault="00A91D49" w:rsidP="00DE7C48">
      <w:r>
        <w:separator/>
      </w:r>
    </w:p>
  </w:endnote>
  <w:endnote w:type="continuationSeparator" w:id="0">
    <w:p w:rsidR="00A91D49" w:rsidRDefault="00A91D49" w:rsidP="00DE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0836D6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B522E" w:rsidRDefault="004B522E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0836D6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0836D6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0836D6" w:rsidP="00C062F9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C062F9" w:rsidRPr="00F12350" w:rsidRDefault="00302630" w:rsidP="00C062F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836D6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836D6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C062F9" w:rsidRDefault="000836D6" w:rsidP="00C062F9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49" w:rsidRDefault="00A91D49" w:rsidP="00DE7C48">
      <w:r>
        <w:separator/>
      </w:r>
    </w:p>
  </w:footnote>
  <w:footnote w:type="continuationSeparator" w:id="0">
    <w:p w:rsidR="00A91D49" w:rsidRDefault="00A91D49" w:rsidP="00DE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0836D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4" o:spid="_x0000_s2049" type="#_x0000_t136" style="position:absolute;margin-left:0;margin-top:0;width:627.55pt;height:75.3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48" w:rsidRDefault="00DE7C4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713501CB" wp14:editId="1992C714">
          <wp:simplePos x="0" y="0"/>
          <wp:positionH relativeFrom="column">
            <wp:posOffset>-755650</wp:posOffset>
          </wp:positionH>
          <wp:positionV relativeFrom="paragraph">
            <wp:posOffset>-452755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C48" w:rsidRDefault="00DE7C4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062F9" w:rsidRDefault="000836D6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062F9" w:rsidRDefault="00302630" w:rsidP="00D21AFF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OPINIÓN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C062F9" w:rsidRDefault="00302630" w:rsidP="00D21AFF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="00910AFF">
      <w:rPr>
        <w:rFonts w:ascii="Palatino Linotype" w:hAnsi="Palatino Linotype" w:cs="Arial"/>
        <w:sz w:val="20"/>
        <w:szCs w:val="20"/>
      </w:rPr>
      <w:t>03179</w:t>
    </w:r>
    <w:r w:rsidR="00E808D8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D21AFF">
      <w:rPr>
        <w:rFonts w:ascii="Palatino Linotype" w:hAnsi="Palatino Linotype" w:cs="Arial"/>
        <w:sz w:val="20"/>
        <w:szCs w:val="20"/>
      </w:rPr>
      <w:t>8</w:t>
    </w:r>
  </w:p>
  <w:p w:rsidR="00C062F9" w:rsidRDefault="000836D6" w:rsidP="00DE7C48">
    <w:pPr>
      <w:pStyle w:val="Encabezado"/>
      <w:tabs>
        <w:tab w:val="clear" w:pos="4252"/>
        <w:tab w:val="clear" w:pos="8504"/>
        <w:tab w:val="left" w:pos="2326"/>
      </w:tabs>
      <w:ind w:right="-93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5" o:spid="_x0000_s2051" type="#_x0000_t136" style="position:absolute;margin-left:0;margin-top:0;width:642.9pt;height:65.6pt;rotation:315;z-index:-251658240;mso-position-horizontal:center;mso-position-horizontal-relative:margin;mso-position-vertical:center;mso-position-vertical-relative:margin" o:allowincell="f" fillcolor="#bfbfbf [2412]" stroked="f" strokecolor="#d8d8d8 [2732]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0836D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3" o:spid="_x0000_s2050" type="#_x0000_t136" style="position:absolute;margin-left:0;margin-top:0;width:627.55pt;height:75.3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E6A07"/>
    <w:multiLevelType w:val="hybridMultilevel"/>
    <w:tmpl w:val="46DA79B2"/>
    <w:lvl w:ilvl="0" w:tplc="3D36AEA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48"/>
    <w:rsid w:val="000836D6"/>
    <w:rsid w:val="000D0E3F"/>
    <w:rsid w:val="001354D3"/>
    <w:rsid w:val="001A34E9"/>
    <w:rsid w:val="001B0784"/>
    <w:rsid w:val="001E5B6F"/>
    <w:rsid w:val="002B368B"/>
    <w:rsid w:val="00302630"/>
    <w:rsid w:val="003416F4"/>
    <w:rsid w:val="00355366"/>
    <w:rsid w:val="00365F29"/>
    <w:rsid w:val="0038314D"/>
    <w:rsid w:val="003B13D0"/>
    <w:rsid w:val="004065D9"/>
    <w:rsid w:val="004B522E"/>
    <w:rsid w:val="004F3DB5"/>
    <w:rsid w:val="004F69CB"/>
    <w:rsid w:val="004F6CB2"/>
    <w:rsid w:val="00513236"/>
    <w:rsid w:val="00563516"/>
    <w:rsid w:val="005A1691"/>
    <w:rsid w:val="005D5E8E"/>
    <w:rsid w:val="005E0A3F"/>
    <w:rsid w:val="006016A4"/>
    <w:rsid w:val="00610B8E"/>
    <w:rsid w:val="006353A8"/>
    <w:rsid w:val="00635D64"/>
    <w:rsid w:val="0065070A"/>
    <w:rsid w:val="00672CE4"/>
    <w:rsid w:val="00680112"/>
    <w:rsid w:val="00710DD6"/>
    <w:rsid w:val="007262CE"/>
    <w:rsid w:val="00742CFC"/>
    <w:rsid w:val="00910AFF"/>
    <w:rsid w:val="009405C9"/>
    <w:rsid w:val="009470AD"/>
    <w:rsid w:val="00994F65"/>
    <w:rsid w:val="009F5AD7"/>
    <w:rsid w:val="00A91D49"/>
    <w:rsid w:val="00B2334E"/>
    <w:rsid w:val="00BA4E0A"/>
    <w:rsid w:val="00BE555A"/>
    <w:rsid w:val="00BF3AD5"/>
    <w:rsid w:val="00C23B43"/>
    <w:rsid w:val="00C52C51"/>
    <w:rsid w:val="00CC4235"/>
    <w:rsid w:val="00CE38E8"/>
    <w:rsid w:val="00CE524B"/>
    <w:rsid w:val="00D013F3"/>
    <w:rsid w:val="00D02C8A"/>
    <w:rsid w:val="00D068FC"/>
    <w:rsid w:val="00D21AFF"/>
    <w:rsid w:val="00D37921"/>
    <w:rsid w:val="00D410EB"/>
    <w:rsid w:val="00D41FCF"/>
    <w:rsid w:val="00D447D3"/>
    <w:rsid w:val="00DC6F6A"/>
    <w:rsid w:val="00DE7C48"/>
    <w:rsid w:val="00DF7D03"/>
    <w:rsid w:val="00E279C5"/>
    <w:rsid w:val="00E62747"/>
    <w:rsid w:val="00E7525C"/>
    <w:rsid w:val="00E808D8"/>
    <w:rsid w:val="00E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77547F-296D-4103-B1BB-D977A3B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C4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E7C48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E7C4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7C48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1E5B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72"/>
    <w:qFormat/>
    <w:locked/>
    <w:rsid w:val="001E5B6F"/>
  </w:style>
  <w:style w:type="paragraph" w:styleId="Textodeglobo">
    <w:name w:val="Balloon Text"/>
    <w:basedOn w:val="Normal"/>
    <w:link w:val="TextodegloboCar"/>
    <w:uiPriority w:val="99"/>
    <w:semiHidden/>
    <w:unhideWhenUsed/>
    <w:rsid w:val="006353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3A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10</cp:revision>
  <cp:lastPrinted>2018-10-19T15:52:00Z</cp:lastPrinted>
  <dcterms:created xsi:type="dcterms:W3CDTF">2018-10-18T20:38:00Z</dcterms:created>
  <dcterms:modified xsi:type="dcterms:W3CDTF">2018-11-20T17:48:00Z</dcterms:modified>
</cp:coreProperties>
</file>